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F121DE" w14:textId="77777777" w:rsidR="00D34966" w:rsidRPr="00C172C2" w:rsidRDefault="00D34966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</w:p>
    <w:p w14:paraId="6AEF8959" w14:textId="77777777" w:rsidR="00D34966" w:rsidRPr="00C172C2" w:rsidRDefault="00D34966">
      <w:pPr>
        <w:pBdr>
          <w:top w:val="nil"/>
          <w:left w:val="nil"/>
          <w:bottom w:val="nil"/>
          <w:right w:val="nil"/>
          <w:between w:val="nil"/>
        </w:pBdr>
        <w:ind w:right="-1"/>
        <w:rPr>
          <w:rFonts w:ascii="Arial" w:hAnsi="Arial" w:cs="Arial"/>
          <w:color w:val="000000"/>
          <w:sz w:val="22"/>
          <w:szCs w:val="22"/>
        </w:rPr>
      </w:pPr>
    </w:p>
    <w:p w14:paraId="02750D61" w14:textId="2760D302" w:rsidR="00D34966" w:rsidRPr="00C172C2" w:rsidRDefault="00C172C2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="Arial" w:hAnsi="Arial" w:cs="Arial"/>
          <w:color w:val="000000"/>
          <w:sz w:val="36"/>
          <w:szCs w:val="36"/>
        </w:rPr>
      </w:pPr>
      <w:r w:rsidRPr="00C172C2">
        <w:rPr>
          <w:rFonts w:ascii="Arial" w:hAnsi="Arial" w:cs="Arial"/>
          <w:b/>
          <w:color w:val="000000"/>
          <w:sz w:val="36"/>
          <w:szCs w:val="36"/>
        </w:rPr>
        <w:t xml:space="preserve">TUNNIKAVA: </w:t>
      </w:r>
      <w:proofErr w:type="spellStart"/>
      <w:r w:rsidR="009B5D26" w:rsidRPr="00C172C2">
        <w:rPr>
          <w:rFonts w:ascii="Arial" w:hAnsi="Arial" w:cs="Arial"/>
          <w:b/>
          <w:color w:val="000000"/>
          <w:sz w:val="36"/>
          <w:szCs w:val="36"/>
        </w:rPr>
        <w:t>Vananev</w:t>
      </w:r>
      <w:proofErr w:type="spellEnd"/>
      <w:r w:rsidR="009B5D26" w:rsidRPr="00C172C2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proofErr w:type="spellStart"/>
      <w:r w:rsidR="009B5D26" w:rsidRPr="00C172C2">
        <w:rPr>
          <w:rFonts w:ascii="Arial" w:hAnsi="Arial" w:cs="Arial"/>
          <w:b/>
          <w:color w:val="000000"/>
          <w:sz w:val="36"/>
          <w:szCs w:val="36"/>
        </w:rPr>
        <w:t>rahvastik</w:t>
      </w:r>
      <w:proofErr w:type="spellEnd"/>
      <w:r w:rsidR="009B5D26" w:rsidRPr="00C172C2">
        <w:rPr>
          <w:rFonts w:ascii="Arial" w:hAnsi="Arial" w:cs="Arial"/>
          <w:b/>
          <w:color w:val="000000"/>
          <w:sz w:val="36"/>
          <w:szCs w:val="36"/>
        </w:rPr>
        <w:t xml:space="preserve"> ja pension</w:t>
      </w:r>
    </w:p>
    <w:p w14:paraId="5F8EE108" w14:textId="488BC65F" w:rsidR="00D34966" w:rsidRDefault="00D34966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="Arial" w:hAnsi="Arial" w:cs="Arial"/>
          <w:color w:val="000000"/>
          <w:sz w:val="22"/>
          <w:szCs w:val="22"/>
        </w:rPr>
      </w:pPr>
    </w:p>
    <w:p w14:paraId="354611C4" w14:textId="77777777" w:rsidR="00C172C2" w:rsidRPr="00C172C2" w:rsidRDefault="00C172C2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a"/>
        <w:tblW w:w="141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11312"/>
      </w:tblGrid>
      <w:tr w:rsidR="00D34966" w:rsidRPr="00C172C2" w14:paraId="504F35E2" w14:textId="77777777">
        <w:tc>
          <w:tcPr>
            <w:tcW w:w="2830" w:type="dxa"/>
            <w:vMerge w:val="restart"/>
          </w:tcPr>
          <w:p w14:paraId="075BE2DA" w14:textId="77777777" w:rsidR="00D34966" w:rsidRPr="00C172C2" w:rsidRDefault="00D34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B1A81BC" w14:textId="77777777" w:rsidR="00D34966" w:rsidRPr="00C172C2" w:rsidRDefault="009B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72C2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drawing>
                <wp:inline distT="0" distB="0" distL="114300" distR="114300" wp14:anchorId="776BFF52" wp14:editId="052EEA39">
                  <wp:extent cx="1626235" cy="1356995"/>
                  <wp:effectExtent l="0" t="0" r="0" b="0"/>
                  <wp:docPr id="2" name="image1.png" descr="Afbeeldingsresultaat voor why what ho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Afbeeldingsresultaat voor why what how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235" cy="13569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2F00081" w14:textId="77777777" w:rsidR="00D34966" w:rsidRPr="00C172C2" w:rsidRDefault="00D34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12" w:type="dxa"/>
          </w:tcPr>
          <w:p w14:paraId="776673F7" w14:textId="77777777" w:rsidR="00C172C2" w:rsidRDefault="00C17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7C5054C3" w14:textId="5C244B37" w:rsidR="00D34966" w:rsidRPr="00C172C2" w:rsidRDefault="009B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</w:rPr>
              <w:t>Milleks</w:t>
            </w:r>
            <w:proofErr w:type="spellEnd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</w:rPr>
              <w:t>?</w:t>
            </w:r>
          </w:p>
          <w:p w14:paraId="14F4A94D" w14:textId="77777777" w:rsidR="00C172C2" w:rsidRDefault="00C17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0D0BF71" w14:textId="307BB5A8" w:rsidR="00D34966" w:rsidRPr="00C172C2" w:rsidRDefault="009B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Õppematerjal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on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mõeldud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tutvustamaks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õpilastele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, mis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probleemid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kaasnevad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rahvastiku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vananemisega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ja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kuidas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kavandavad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oma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jõukama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pensionipõlve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kindlustamise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võimalusi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534D1C9B" w14:textId="77777777" w:rsidR="00D34966" w:rsidRPr="00C172C2" w:rsidRDefault="00D34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34966" w:rsidRPr="00C172C2" w14:paraId="1398C0B1" w14:textId="77777777">
        <w:tc>
          <w:tcPr>
            <w:tcW w:w="2830" w:type="dxa"/>
            <w:vMerge/>
          </w:tcPr>
          <w:p w14:paraId="09D2F533" w14:textId="77777777" w:rsidR="00D34966" w:rsidRPr="00C172C2" w:rsidRDefault="00D34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12" w:type="dxa"/>
          </w:tcPr>
          <w:p w14:paraId="3BBD5A93" w14:textId="77777777" w:rsidR="00C172C2" w:rsidRDefault="00C17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7D154DAF" w14:textId="090FBC74" w:rsidR="00D34966" w:rsidRPr="00C172C2" w:rsidRDefault="009B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</w:rPr>
              <w:t>Mis?</w:t>
            </w:r>
          </w:p>
          <w:p w14:paraId="7B9EF634" w14:textId="77777777" w:rsidR="00C172C2" w:rsidRDefault="00C17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5524090" w14:textId="6A48883A" w:rsidR="00D34966" w:rsidRPr="00C172C2" w:rsidRDefault="009B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Materjali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läbi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töötanud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õpilane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oskab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kasutada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teabeallikaid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rahvastikuinfo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leidmiseks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analüüsida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rahvastikupüramiidi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ja rakendada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omandatud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teadmisi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rahvastiku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vananemisprotsessi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selgitamisel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sellest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tulenevate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probleemide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lahendamisel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riigis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7BE87E27" w14:textId="77777777" w:rsidR="00C172C2" w:rsidRDefault="00C17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F83B63F" w14:textId="1C5820A1" w:rsidR="00D34966" w:rsidRPr="00C172C2" w:rsidRDefault="009B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Õpilasel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on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ülevaade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tööjõust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ja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palkadest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, ta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mõistab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pikaajalise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karjääriplaneerimise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tähtsust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toimetuleku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eeldusena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ja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pensionipõlve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kindlustamisel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valitsuse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reguleerivat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rolli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hüvede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ümberjagamises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maksude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kaudu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.  </w:t>
            </w:r>
          </w:p>
          <w:p w14:paraId="6AF351DF" w14:textId="77777777" w:rsidR="00D34966" w:rsidRPr="00C172C2" w:rsidRDefault="00D34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34966" w:rsidRPr="00C172C2" w14:paraId="4D1576E5" w14:textId="77777777">
        <w:tc>
          <w:tcPr>
            <w:tcW w:w="2830" w:type="dxa"/>
            <w:vMerge/>
          </w:tcPr>
          <w:p w14:paraId="6624F055" w14:textId="77777777" w:rsidR="00D34966" w:rsidRPr="00C172C2" w:rsidRDefault="00D34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12" w:type="dxa"/>
          </w:tcPr>
          <w:p w14:paraId="2AA63617" w14:textId="77777777" w:rsidR="00C172C2" w:rsidRDefault="00C17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54229A50" w14:textId="77777777" w:rsidR="00C172C2" w:rsidRDefault="009B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</w:rPr>
              <w:t>Kuidas</w:t>
            </w:r>
            <w:proofErr w:type="spellEnd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</w:rPr>
              <w:t>?</w:t>
            </w:r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</w:p>
          <w:p w14:paraId="2759CF1D" w14:textId="77777777" w:rsidR="00D34966" w:rsidRDefault="009B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Vastused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küsimustele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leitakse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arutluse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teel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ning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vastavaid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infoallikaid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uurides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  <w:p w14:paraId="3224E943" w14:textId="4E86E05A" w:rsidR="00C172C2" w:rsidRPr="00C172C2" w:rsidRDefault="00C17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B7F1AF0" w14:textId="77777777" w:rsidR="00D34966" w:rsidRPr="00C172C2" w:rsidRDefault="00D34966">
      <w:pPr>
        <w:pBdr>
          <w:top w:val="nil"/>
          <w:left w:val="nil"/>
          <w:bottom w:val="nil"/>
          <w:right w:val="nil"/>
          <w:between w:val="nil"/>
        </w:pBdr>
        <w:ind w:right="-1"/>
        <w:rPr>
          <w:rFonts w:ascii="Arial" w:hAnsi="Arial" w:cs="Arial"/>
          <w:color w:val="000000"/>
          <w:sz w:val="22"/>
          <w:szCs w:val="22"/>
        </w:rPr>
      </w:pPr>
    </w:p>
    <w:p w14:paraId="66394AAB" w14:textId="77777777" w:rsidR="00D34966" w:rsidRPr="00C172C2" w:rsidRDefault="00D34966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a0"/>
        <w:tblW w:w="141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70"/>
        <w:gridCol w:w="10004"/>
      </w:tblGrid>
      <w:tr w:rsidR="00D34966" w:rsidRPr="00C172C2" w14:paraId="3C1E8EC2" w14:textId="77777777">
        <w:tc>
          <w:tcPr>
            <w:tcW w:w="4170" w:type="dxa"/>
          </w:tcPr>
          <w:p w14:paraId="3EF26806" w14:textId="77777777" w:rsidR="00D34966" w:rsidRPr="00C172C2" w:rsidRDefault="00D34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48D8937" w14:textId="77777777" w:rsidR="00D34966" w:rsidRPr="00C172C2" w:rsidRDefault="009B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</w:rPr>
              <w:t>Teema</w:t>
            </w:r>
            <w:proofErr w:type="spellEnd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  <w:p w14:paraId="74D5F76B" w14:textId="77777777" w:rsidR="00D34966" w:rsidRPr="00C172C2" w:rsidRDefault="00D34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004" w:type="dxa"/>
          </w:tcPr>
          <w:p w14:paraId="1E76AF95" w14:textId="77777777" w:rsidR="00C172C2" w:rsidRDefault="00C17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F81A833" w14:textId="3B6B4D06" w:rsidR="00D34966" w:rsidRPr="00C172C2" w:rsidRDefault="009B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Vananev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ühiskond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ja pension</w:t>
            </w:r>
          </w:p>
        </w:tc>
      </w:tr>
      <w:tr w:rsidR="00D34966" w:rsidRPr="00C172C2" w14:paraId="3D331171" w14:textId="77777777">
        <w:tc>
          <w:tcPr>
            <w:tcW w:w="4170" w:type="dxa"/>
          </w:tcPr>
          <w:p w14:paraId="7B578755" w14:textId="77777777" w:rsidR="00D34966" w:rsidRPr="00C172C2" w:rsidRDefault="00D34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7EFC66E" w14:textId="77777777" w:rsidR="00D34966" w:rsidRPr="00C172C2" w:rsidRDefault="009B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Kool:</w:t>
            </w:r>
          </w:p>
          <w:p w14:paraId="749C6238" w14:textId="77777777" w:rsidR="00D34966" w:rsidRPr="00C172C2" w:rsidRDefault="00D34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004" w:type="dxa"/>
          </w:tcPr>
          <w:p w14:paraId="44B76493" w14:textId="77777777" w:rsidR="00C172C2" w:rsidRDefault="00C17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E70ECA4" w14:textId="4A3A96C8" w:rsidR="00D34966" w:rsidRPr="00C172C2" w:rsidRDefault="009B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Tallinna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Reaalkool</w:t>
            </w:r>
          </w:p>
        </w:tc>
      </w:tr>
      <w:tr w:rsidR="00D34966" w:rsidRPr="00C172C2" w14:paraId="5850A8E4" w14:textId="77777777">
        <w:tc>
          <w:tcPr>
            <w:tcW w:w="4170" w:type="dxa"/>
          </w:tcPr>
          <w:p w14:paraId="6B30E8ED" w14:textId="77777777" w:rsidR="00D34966" w:rsidRPr="00C172C2" w:rsidRDefault="00D34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E64B3DF" w14:textId="77777777" w:rsidR="00D34966" w:rsidRPr="00C172C2" w:rsidRDefault="009B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</w:rPr>
              <w:t>Vanusegrupp</w:t>
            </w:r>
            <w:proofErr w:type="spellEnd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  <w:p w14:paraId="085561E2" w14:textId="77777777" w:rsidR="00D34966" w:rsidRPr="00C172C2" w:rsidRDefault="00D34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004" w:type="dxa"/>
          </w:tcPr>
          <w:p w14:paraId="1BA85E4A" w14:textId="77777777" w:rsidR="00C172C2" w:rsidRDefault="00C17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E98D5D8" w14:textId="4A9A4726" w:rsidR="00D34966" w:rsidRPr="00C172C2" w:rsidRDefault="009B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15-19</w:t>
            </w:r>
          </w:p>
        </w:tc>
      </w:tr>
      <w:tr w:rsidR="00D34966" w:rsidRPr="00C172C2" w14:paraId="665843AE" w14:textId="77777777">
        <w:tc>
          <w:tcPr>
            <w:tcW w:w="4170" w:type="dxa"/>
          </w:tcPr>
          <w:p w14:paraId="296C2279" w14:textId="77777777" w:rsidR="00D34966" w:rsidRPr="00C172C2" w:rsidRDefault="00D34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4734829" w14:textId="77777777" w:rsidR="00D34966" w:rsidRPr="00C172C2" w:rsidRDefault="009B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</w:rPr>
              <w:t>Finantskirjaoskuse</w:t>
            </w:r>
            <w:proofErr w:type="spellEnd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</w:rPr>
              <w:t>projekti</w:t>
            </w:r>
            <w:proofErr w:type="spellEnd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</w:rPr>
              <w:t>tegevuse</w:t>
            </w:r>
            <w:proofErr w:type="spellEnd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ID</w:t>
            </w:r>
          </w:p>
          <w:p w14:paraId="45A41C52" w14:textId="77777777" w:rsidR="00D34966" w:rsidRPr="00C172C2" w:rsidRDefault="00D34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004" w:type="dxa"/>
          </w:tcPr>
          <w:p w14:paraId="23219646" w14:textId="77777777" w:rsidR="00C172C2" w:rsidRDefault="00C17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3DF3DF2" w14:textId="2535FC6D" w:rsidR="00D34966" w:rsidRPr="00C172C2" w:rsidRDefault="009B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DM10</w:t>
            </w:r>
          </w:p>
        </w:tc>
      </w:tr>
      <w:tr w:rsidR="00D34966" w:rsidRPr="00C172C2" w14:paraId="43C0E149" w14:textId="77777777">
        <w:tc>
          <w:tcPr>
            <w:tcW w:w="4170" w:type="dxa"/>
          </w:tcPr>
          <w:p w14:paraId="63295116" w14:textId="77777777" w:rsidR="00D34966" w:rsidRPr="00C172C2" w:rsidRDefault="00D34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318A1E4" w14:textId="77777777" w:rsidR="00D34966" w:rsidRPr="00C172C2" w:rsidRDefault="009B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Link </w:t>
            </w:r>
            <w:proofErr w:type="spellStart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</w:rPr>
              <w:t>õppekavale</w:t>
            </w:r>
            <w:proofErr w:type="spellEnd"/>
          </w:p>
          <w:p w14:paraId="23078D0F" w14:textId="77777777" w:rsidR="00D34966" w:rsidRPr="00C172C2" w:rsidRDefault="00D34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004" w:type="dxa"/>
          </w:tcPr>
          <w:p w14:paraId="73BB3B22" w14:textId="77777777" w:rsidR="00D34966" w:rsidRPr="00C172C2" w:rsidRDefault="00D34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74D52E8F" w14:textId="77777777" w:rsidR="00C172C2" w:rsidRDefault="009B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Gümnaasium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: </w:t>
            </w:r>
            <w:hyperlink r:id="rId8">
              <w:r w:rsidRPr="00C172C2">
                <w:rPr>
                  <w:rFonts w:ascii="Arial" w:hAnsi="Arial" w:cs="Arial"/>
                  <w:color w:val="0066CC"/>
                  <w:sz w:val="22"/>
                  <w:szCs w:val="22"/>
                  <w:u w:val="single"/>
                  <w:lang w:val="en-US"/>
                </w:rPr>
                <w:t>https://www.riigiteataja.ee/akt/129082014021</w:t>
              </w:r>
            </w:hyperlink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br/>
            </w:r>
          </w:p>
          <w:p w14:paraId="4103B856" w14:textId="66AEE1F5" w:rsidR="00D34966" w:rsidRPr="00C172C2" w:rsidRDefault="009B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  <w:lang w:val="nl-BE"/>
              </w:rPr>
            </w:pP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nl-BE"/>
              </w:rPr>
              <w:t>Põhikool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nl-BE"/>
              </w:rPr>
              <w:t xml:space="preserve">: </w:t>
            </w:r>
            <w:hyperlink r:id="rId9">
              <w:r w:rsidRPr="00C172C2">
                <w:rPr>
                  <w:rFonts w:ascii="Arial" w:hAnsi="Arial" w:cs="Arial"/>
                  <w:color w:val="0066CC"/>
                  <w:sz w:val="22"/>
                  <w:szCs w:val="22"/>
                  <w:u w:val="single"/>
                  <w:lang w:val="nl-BE"/>
                </w:rPr>
                <w:t>https://www.riigiteataja.ee/akt/129082014020</w:t>
              </w:r>
            </w:hyperlink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nl-BE"/>
              </w:rPr>
              <w:t xml:space="preserve">    </w:t>
            </w:r>
          </w:p>
          <w:p w14:paraId="779A4858" w14:textId="77777777" w:rsidR="00C172C2" w:rsidRDefault="00C17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  <w:lang w:val="nl-BE"/>
              </w:rPr>
            </w:pPr>
          </w:p>
          <w:p w14:paraId="46C397DA" w14:textId="724DFDED" w:rsidR="00D34966" w:rsidRPr="00C172C2" w:rsidRDefault="009B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Inglise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keeles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: </w:t>
            </w:r>
            <w:hyperlink r:id="rId10">
              <w:r w:rsidRPr="00C172C2">
                <w:rPr>
                  <w:rFonts w:ascii="Arial" w:hAnsi="Arial" w:cs="Arial"/>
                  <w:color w:val="0066CC"/>
                  <w:sz w:val="22"/>
                  <w:szCs w:val="22"/>
                  <w:u w:val="single"/>
                  <w:lang w:val="en-US"/>
                </w:rPr>
                <w:t>https://oppekava.innove.ee/pohiharidus/</w:t>
              </w:r>
            </w:hyperlink>
          </w:p>
          <w:p w14:paraId="77F66D02" w14:textId="77777777" w:rsidR="00D34966" w:rsidRPr="00C172C2" w:rsidRDefault="00D34966" w:rsidP="00C17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34966" w:rsidRPr="00C172C2" w14:paraId="736F1D61" w14:textId="77777777">
        <w:tc>
          <w:tcPr>
            <w:tcW w:w="4170" w:type="dxa"/>
          </w:tcPr>
          <w:p w14:paraId="598F753A" w14:textId="77777777" w:rsidR="00D34966" w:rsidRPr="00C172C2" w:rsidRDefault="00D34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F910563" w14:textId="77777777" w:rsidR="00D34966" w:rsidRPr="00C172C2" w:rsidRDefault="009B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</w:rPr>
              <w:t>Kestus</w:t>
            </w:r>
            <w:proofErr w:type="spellEnd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  <w:p w14:paraId="2988A692" w14:textId="77777777" w:rsidR="00D34966" w:rsidRPr="00C172C2" w:rsidRDefault="00D34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004" w:type="dxa"/>
          </w:tcPr>
          <w:p w14:paraId="420ABAB0" w14:textId="77777777" w:rsidR="00C172C2" w:rsidRDefault="00C17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A6AEF66" w14:textId="35135759" w:rsidR="00D34966" w:rsidRPr="00C172C2" w:rsidRDefault="009B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2 x 45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minutit</w:t>
            </w:r>
            <w:proofErr w:type="spellEnd"/>
          </w:p>
        </w:tc>
      </w:tr>
      <w:tr w:rsidR="00D34966" w:rsidRPr="00C172C2" w14:paraId="196180A5" w14:textId="77777777">
        <w:tc>
          <w:tcPr>
            <w:tcW w:w="4170" w:type="dxa"/>
          </w:tcPr>
          <w:p w14:paraId="08C6FFDD" w14:textId="77777777" w:rsidR="00D34966" w:rsidRPr="00C172C2" w:rsidRDefault="00D34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5526ADF" w14:textId="77777777" w:rsidR="00D34966" w:rsidRPr="00C172C2" w:rsidRDefault="009B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</w:rPr>
              <w:t>Osalejad</w:t>
            </w:r>
            <w:proofErr w:type="spellEnd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  <w:p w14:paraId="55DABF95" w14:textId="77777777" w:rsidR="00D34966" w:rsidRPr="00C172C2" w:rsidRDefault="00D34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004" w:type="dxa"/>
          </w:tcPr>
          <w:p w14:paraId="559E8E79" w14:textId="77777777" w:rsidR="00C172C2" w:rsidRDefault="00C17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3F49769" w14:textId="30A8C51C" w:rsidR="00D34966" w:rsidRPr="00C172C2" w:rsidRDefault="009B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Õpilased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vanuses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14-18,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õpetaja</w:t>
            </w:r>
            <w:proofErr w:type="spellEnd"/>
          </w:p>
        </w:tc>
      </w:tr>
      <w:tr w:rsidR="00D34966" w:rsidRPr="00C172C2" w14:paraId="4E521D9E" w14:textId="77777777">
        <w:tc>
          <w:tcPr>
            <w:tcW w:w="4170" w:type="dxa"/>
          </w:tcPr>
          <w:p w14:paraId="4C910A30" w14:textId="77777777" w:rsidR="00D34966" w:rsidRPr="00C172C2" w:rsidRDefault="00D34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340C1E1" w14:textId="77777777" w:rsidR="00D34966" w:rsidRPr="00C172C2" w:rsidRDefault="009B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</w:rPr>
              <w:t>Nõuded</w:t>
            </w:r>
            <w:proofErr w:type="spellEnd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</w:rPr>
              <w:t>klassiruumile</w:t>
            </w:r>
            <w:proofErr w:type="spellEnd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</w:rPr>
              <w:t>lauad</w:t>
            </w:r>
            <w:proofErr w:type="spellEnd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ja </w:t>
            </w:r>
            <w:proofErr w:type="spellStart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</w:rPr>
              <w:t>toolid</w:t>
            </w:r>
            <w:proofErr w:type="spellEnd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): </w:t>
            </w:r>
          </w:p>
          <w:p w14:paraId="165ACAE7" w14:textId="77777777" w:rsidR="00D34966" w:rsidRPr="00C172C2" w:rsidRDefault="00D34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004" w:type="dxa"/>
          </w:tcPr>
          <w:p w14:paraId="4C29CC71" w14:textId="77777777" w:rsidR="00C172C2" w:rsidRDefault="00C17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426C4A1" w14:textId="3ECCA6DA" w:rsidR="00D34966" w:rsidRPr="00C172C2" w:rsidRDefault="009B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Tavaline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klassiruum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õpilased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töötavad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gruppides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iga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grupi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jaoks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on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vaja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arvutit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või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nutiseadet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väljaprinditud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töölehed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D34966" w:rsidRPr="00C172C2" w14:paraId="797A40A1" w14:textId="77777777">
        <w:tc>
          <w:tcPr>
            <w:tcW w:w="4170" w:type="dxa"/>
          </w:tcPr>
          <w:p w14:paraId="3F471B07" w14:textId="77777777" w:rsidR="00D34966" w:rsidRPr="00C172C2" w:rsidRDefault="00D34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5E4B336" w14:textId="77777777" w:rsidR="00D34966" w:rsidRPr="00C172C2" w:rsidRDefault="009B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</w:rPr>
              <w:t>Lisainformatioon</w:t>
            </w:r>
            <w:proofErr w:type="spellEnd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  <w:p w14:paraId="51BBE606" w14:textId="77777777" w:rsidR="00D34966" w:rsidRPr="00C172C2" w:rsidRDefault="00D34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004" w:type="dxa"/>
          </w:tcPr>
          <w:p w14:paraId="3BFB7D90" w14:textId="77777777" w:rsidR="00C172C2" w:rsidRDefault="00C17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307451FE" w14:textId="7A94DD52" w:rsidR="00D34966" w:rsidRPr="00C172C2" w:rsidRDefault="009B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ÜRO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andmed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: </w:t>
            </w:r>
            <w:r w:rsidRPr="00C172C2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https://www.populationpyramid.net/</w:t>
            </w:r>
          </w:p>
        </w:tc>
      </w:tr>
      <w:tr w:rsidR="00D34966" w:rsidRPr="00C172C2" w14:paraId="08935AB1" w14:textId="77777777">
        <w:tc>
          <w:tcPr>
            <w:tcW w:w="4170" w:type="dxa"/>
          </w:tcPr>
          <w:p w14:paraId="620E6C01" w14:textId="77777777" w:rsidR="00D34966" w:rsidRPr="00C172C2" w:rsidRDefault="00D34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5E524498" w14:textId="77777777" w:rsidR="00D34966" w:rsidRPr="00C172C2" w:rsidRDefault="009B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</w:rPr>
              <w:t>Õpetamisstrateegia</w:t>
            </w:r>
            <w:proofErr w:type="spellEnd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  <w:p w14:paraId="151E5A15" w14:textId="77777777" w:rsidR="00D34966" w:rsidRPr="00C172C2" w:rsidRDefault="00D34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8728975" w14:textId="77777777" w:rsidR="00D34966" w:rsidRPr="00C172C2" w:rsidRDefault="00D34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004" w:type="dxa"/>
          </w:tcPr>
          <w:p w14:paraId="18BB0F72" w14:textId="77777777" w:rsidR="00C172C2" w:rsidRDefault="00C172C2" w:rsidP="00C17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D101F53" w14:textId="3A0CD102" w:rsidR="00D34966" w:rsidRPr="00C172C2" w:rsidRDefault="009B5D2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Õpetaja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sissejuhatus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teemasse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Inimese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elukaar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ja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majanduslik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aktiivsus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rahvastiku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vanuseline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koosseis,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selle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jaotus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lapsed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ja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noored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tööealised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ja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töötajad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eakad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ja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pensionärid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</w:p>
          <w:p w14:paraId="1B3736BD" w14:textId="77777777" w:rsidR="00C172C2" w:rsidRDefault="00C172C2" w:rsidP="00C17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E8E9A7B" w14:textId="5B4C5A76" w:rsidR="00D34966" w:rsidRPr="00C172C2" w:rsidRDefault="009B5D2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Rahvastikupüramiidi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analüüs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hyperlink r:id="rId11">
              <w:r w:rsidRPr="00C172C2">
                <w:rPr>
                  <w:rFonts w:ascii="Arial" w:hAnsi="Arial" w:cs="Arial"/>
                  <w:color w:val="0066CC"/>
                  <w:sz w:val="22"/>
                  <w:szCs w:val="22"/>
                  <w:u w:val="single"/>
                </w:rPr>
                <w:t>Riikide rahvastikupüramiidid aastatel 1950–2050 ÜRO andmete järgi</w:t>
              </w:r>
            </w:hyperlink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hyperlink r:id="rId12">
              <w:r w:rsidRPr="00C172C2">
                <w:rPr>
                  <w:rFonts w:ascii="Arial" w:hAnsi="Arial" w:cs="Arial"/>
                  <w:color w:val="0066CC"/>
                  <w:sz w:val="22"/>
                  <w:szCs w:val="22"/>
                  <w:u w:val="single"/>
                </w:rPr>
                <w:t>https://www.populationpyramid.net/</w:t>
              </w:r>
            </w:hyperlink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7C0059C7" w14:textId="77777777" w:rsidR="00C172C2" w:rsidRDefault="00C172C2" w:rsidP="00C17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ADD78FC" w14:textId="1BD4BCDC" w:rsidR="00C172C2" w:rsidRDefault="009B5D26" w:rsidP="00C172C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Kokkuvõte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rahvastiku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vananemisega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kaasnevatest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probleemidest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juhib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teema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pensionipõlve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kindlustamisele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</w:p>
          <w:p w14:paraId="4B5E1405" w14:textId="77777777" w:rsidR="00C172C2" w:rsidRPr="00C172C2" w:rsidRDefault="00C172C2" w:rsidP="00C17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A653AF4" w14:textId="60B694B5" w:rsidR="00D34966" w:rsidRPr="00C172C2" w:rsidRDefault="009B5D26" w:rsidP="00C172C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Õpilaste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iseseisev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töö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internetist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info leidmine ja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teise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töölehe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täitmine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vajaduse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korral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õpetajapoolne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suunamine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</w:p>
        </w:tc>
      </w:tr>
    </w:tbl>
    <w:p w14:paraId="180AE6AF" w14:textId="77777777" w:rsidR="00D34966" w:rsidRPr="00C172C2" w:rsidRDefault="00D34966">
      <w:pPr>
        <w:pBdr>
          <w:top w:val="nil"/>
          <w:left w:val="nil"/>
          <w:bottom w:val="nil"/>
          <w:right w:val="nil"/>
          <w:between w:val="nil"/>
        </w:pBdr>
        <w:ind w:right="-1"/>
        <w:rPr>
          <w:rFonts w:ascii="Arial" w:hAnsi="Arial" w:cs="Arial"/>
          <w:color w:val="000000"/>
          <w:sz w:val="22"/>
          <w:szCs w:val="22"/>
        </w:rPr>
      </w:pPr>
    </w:p>
    <w:p w14:paraId="75408BC2" w14:textId="77777777" w:rsidR="00D34966" w:rsidRPr="00C172C2" w:rsidRDefault="00D34966">
      <w:pPr>
        <w:pBdr>
          <w:top w:val="nil"/>
          <w:left w:val="nil"/>
          <w:bottom w:val="nil"/>
          <w:right w:val="nil"/>
          <w:between w:val="nil"/>
        </w:pBdr>
        <w:ind w:right="-1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a1"/>
        <w:tblW w:w="141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74"/>
      </w:tblGrid>
      <w:tr w:rsidR="00D34966" w:rsidRPr="00C172C2" w14:paraId="24C12D3C" w14:textId="77777777">
        <w:tc>
          <w:tcPr>
            <w:tcW w:w="14174" w:type="dxa"/>
          </w:tcPr>
          <w:p w14:paraId="483E768E" w14:textId="77777777" w:rsidR="00D34966" w:rsidRPr="00C172C2" w:rsidRDefault="00D3496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375" w:right="-1" w:hanging="375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0E0C381" w14:textId="5C326FCB" w:rsidR="00C172C2" w:rsidRPr="00C172C2" w:rsidRDefault="00C172C2" w:rsidP="00C172C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172C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1. </w:t>
            </w:r>
            <w:proofErr w:type="spellStart"/>
            <w:r w:rsidR="009B5D26" w:rsidRPr="00C172C2">
              <w:rPr>
                <w:rFonts w:ascii="Arial" w:hAnsi="Arial" w:cs="Arial"/>
                <w:b/>
                <w:color w:val="000000"/>
                <w:sz w:val="24"/>
                <w:szCs w:val="24"/>
              </w:rPr>
              <w:t>Tingimused</w:t>
            </w:r>
            <w:proofErr w:type="spellEnd"/>
            <w:r w:rsidR="009B5D26" w:rsidRPr="00C172C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: </w:t>
            </w:r>
          </w:p>
          <w:p w14:paraId="62E44F38" w14:textId="77777777" w:rsidR="00C172C2" w:rsidRPr="00C172C2" w:rsidRDefault="00C172C2" w:rsidP="00C172C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-34" w:right="-1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1F5700C7" w14:textId="3DED85BD" w:rsidR="00D34966" w:rsidRPr="00C172C2" w:rsidRDefault="00C172C2" w:rsidP="00C172C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C172C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Õ</w:t>
            </w:r>
            <w:r w:rsidR="009B5D26" w:rsidRPr="00C172C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pilastele</w:t>
            </w:r>
            <w:proofErr w:type="spellEnd"/>
            <w:r w:rsidR="009B5D26" w:rsidRPr="00C172C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on </w:t>
            </w:r>
            <w:proofErr w:type="spellStart"/>
            <w:r w:rsidR="009B5D26" w:rsidRPr="00C172C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vajalik</w:t>
            </w:r>
            <w:proofErr w:type="spellEnd"/>
            <w:r w:rsidR="009B5D26" w:rsidRPr="00C172C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B5D26" w:rsidRPr="00C172C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tagada</w:t>
            </w:r>
            <w:proofErr w:type="spellEnd"/>
            <w:r w:rsidR="009B5D26" w:rsidRPr="00C172C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B5D26" w:rsidRPr="00C172C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nutiseadme</w:t>
            </w:r>
            <w:proofErr w:type="spellEnd"/>
            <w:r w:rsidR="009B5D26" w:rsidRPr="00C172C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B5D26" w:rsidRPr="00C172C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või</w:t>
            </w:r>
            <w:proofErr w:type="spellEnd"/>
            <w:r w:rsidR="009B5D26" w:rsidRPr="00C172C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B5D26" w:rsidRPr="00C172C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arvuti</w:t>
            </w:r>
            <w:proofErr w:type="spellEnd"/>
            <w:r w:rsidR="009B5D26" w:rsidRPr="00C172C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B5D26" w:rsidRPr="00C172C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kasutamise</w:t>
            </w:r>
            <w:proofErr w:type="spellEnd"/>
            <w:r w:rsidR="009B5D26" w:rsidRPr="00C172C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B5D26" w:rsidRPr="00C172C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võimalus</w:t>
            </w:r>
            <w:proofErr w:type="spellEnd"/>
            <w:r w:rsidR="009B5D26" w:rsidRPr="00C172C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67C587F1" w14:textId="77777777" w:rsidR="00D34966" w:rsidRPr="00C172C2" w:rsidRDefault="00D34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FFD047D" w14:textId="77777777" w:rsidR="00D34966" w:rsidRPr="00C172C2" w:rsidRDefault="00D34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8A20461" w14:textId="77777777" w:rsidR="00D34966" w:rsidRPr="00C172C2" w:rsidRDefault="00D34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A8ED655" w14:textId="77777777" w:rsidR="00D34966" w:rsidRPr="00C172C2" w:rsidRDefault="00D34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1F10CAC" w14:textId="77777777" w:rsidR="00D34966" w:rsidRPr="00C172C2" w:rsidRDefault="00D34966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</w:p>
    <w:p w14:paraId="377FECF7" w14:textId="77777777" w:rsidR="00D34966" w:rsidRPr="00C172C2" w:rsidRDefault="00D34966">
      <w:pPr>
        <w:pBdr>
          <w:top w:val="nil"/>
          <w:left w:val="nil"/>
          <w:bottom w:val="nil"/>
          <w:right w:val="nil"/>
          <w:between w:val="nil"/>
        </w:pBdr>
        <w:ind w:right="-1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a2"/>
        <w:tblW w:w="141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74"/>
      </w:tblGrid>
      <w:tr w:rsidR="00D34966" w:rsidRPr="00C172C2" w14:paraId="2E1DA694" w14:textId="77777777">
        <w:tc>
          <w:tcPr>
            <w:tcW w:w="14174" w:type="dxa"/>
          </w:tcPr>
          <w:p w14:paraId="41B28856" w14:textId="77777777" w:rsidR="00D34966" w:rsidRPr="00C172C2" w:rsidRDefault="00D3496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375" w:right="-1" w:hanging="375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79252574" w14:textId="69E8AAC8" w:rsidR="00D34966" w:rsidRPr="00C172C2" w:rsidRDefault="00C172C2" w:rsidP="00C172C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172C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2. </w:t>
            </w:r>
            <w:proofErr w:type="spellStart"/>
            <w:r w:rsidR="009B5D26" w:rsidRPr="00C172C2">
              <w:rPr>
                <w:rFonts w:ascii="Arial" w:hAnsi="Arial" w:cs="Arial"/>
                <w:b/>
                <w:color w:val="000000"/>
                <w:sz w:val="24"/>
                <w:szCs w:val="24"/>
              </w:rPr>
              <w:t>Sisu</w:t>
            </w:r>
            <w:proofErr w:type="spellEnd"/>
            <w:r w:rsidR="009B5D26" w:rsidRPr="00C172C2">
              <w:rPr>
                <w:rFonts w:ascii="Arial" w:hAnsi="Arial" w:cs="Arial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="009B5D26" w:rsidRPr="00C172C2">
              <w:rPr>
                <w:rFonts w:ascii="Arial" w:hAnsi="Arial" w:cs="Arial"/>
                <w:b/>
                <w:color w:val="000000"/>
                <w:sz w:val="24"/>
                <w:szCs w:val="24"/>
              </w:rPr>
              <w:t>teema</w:t>
            </w:r>
            <w:proofErr w:type="spellEnd"/>
            <w:r w:rsidR="009B5D26" w:rsidRPr="00C172C2">
              <w:rPr>
                <w:rFonts w:ascii="Arial" w:hAnsi="Arial" w:cs="Arial"/>
                <w:b/>
                <w:color w:val="000000"/>
                <w:sz w:val="24"/>
                <w:szCs w:val="24"/>
              </w:rPr>
              <w:t>:</w:t>
            </w:r>
          </w:p>
          <w:p w14:paraId="211AC7A8" w14:textId="77777777" w:rsidR="00D34966" w:rsidRPr="00C172C2" w:rsidRDefault="00D34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B6A3CE5" w14:textId="77777777" w:rsidR="00D34966" w:rsidRPr="00C172C2" w:rsidRDefault="009B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Õpilased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saavad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teada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kuidas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leida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ja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kasutada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usaldusväärseid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rahvastiku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andmeid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sisaldavaid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infoallikaid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õpivad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kasutama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rahvastiku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püramiidi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ning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oskavad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neid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teadmisi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rakendada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vananemisprotsesside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seletamiseks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ning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oskavad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pakkuda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lahendusi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teemaga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seotud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probleemidele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erinevates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maades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Õpilased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saavad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ülevaate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sellistest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mõistetest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nagu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tööjõud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sissetulek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ning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õpivad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aru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saama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pikaajalistest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karjääriplaneerimise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oskustest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kui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kindlustatud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vanaduspõlve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põhiinstrumentidest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Õpilased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saavad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ka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ülevaate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valitsuste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reguleerivast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rollist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hüvede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ümberjaotamisel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maksude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kaudu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.  </w:t>
            </w:r>
          </w:p>
          <w:p w14:paraId="55AECDE5" w14:textId="77777777" w:rsidR="00D34966" w:rsidRPr="00C172C2" w:rsidRDefault="00D34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C864F71" w14:textId="77777777" w:rsidR="00D34966" w:rsidRPr="00C172C2" w:rsidRDefault="009B5D26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C172C2">
        <w:rPr>
          <w:rFonts w:ascii="Arial" w:hAnsi="Arial" w:cs="Arial"/>
          <w:sz w:val="22"/>
          <w:szCs w:val="22"/>
        </w:rPr>
        <w:br w:type="page"/>
      </w:r>
    </w:p>
    <w:p w14:paraId="67A256A6" w14:textId="77777777" w:rsidR="00D34966" w:rsidRPr="00C172C2" w:rsidRDefault="009B5D26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  <w:r w:rsidRPr="00C172C2">
        <w:rPr>
          <w:rFonts w:ascii="Arial" w:hAnsi="Arial" w:cs="Arial"/>
          <w:b/>
          <w:color w:val="000000"/>
          <w:sz w:val="24"/>
          <w:szCs w:val="24"/>
        </w:rPr>
        <w:lastRenderedPageBreak/>
        <w:t xml:space="preserve">3. </w:t>
      </w:r>
      <w:proofErr w:type="spellStart"/>
      <w:r w:rsidRPr="00C172C2">
        <w:rPr>
          <w:rFonts w:ascii="Arial" w:hAnsi="Arial" w:cs="Arial"/>
          <w:b/>
          <w:color w:val="000000"/>
          <w:sz w:val="24"/>
          <w:szCs w:val="24"/>
        </w:rPr>
        <w:t>Tunni</w:t>
      </w:r>
      <w:proofErr w:type="spellEnd"/>
      <w:r w:rsidRPr="00C172C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C172C2">
        <w:rPr>
          <w:rFonts w:ascii="Arial" w:hAnsi="Arial" w:cs="Arial"/>
          <w:b/>
          <w:color w:val="000000"/>
          <w:sz w:val="24"/>
          <w:szCs w:val="24"/>
        </w:rPr>
        <w:t>ülesehitus</w:t>
      </w:r>
      <w:proofErr w:type="spellEnd"/>
    </w:p>
    <w:p w14:paraId="59E30BC6" w14:textId="77777777" w:rsidR="00D34966" w:rsidRPr="00C172C2" w:rsidRDefault="00D34966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</w:p>
    <w:tbl>
      <w:tblPr>
        <w:tblStyle w:val="a3"/>
        <w:tblW w:w="14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2670"/>
        <w:gridCol w:w="1709"/>
        <w:gridCol w:w="1386"/>
        <w:gridCol w:w="3417"/>
        <w:gridCol w:w="4063"/>
      </w:tblGrid>
      <w:tr w:rsidR="00D34966" w:rsidRPr="00C172C2" w14:paraId="7D3D674B" w14:textId="77777777" w:rsidTr="00C172C2">
        <w:trPr>
          <w:cantSplit/>
          <w:trHeight w:val="1134"/>
        </w:trPr>
        <w:tc>
          <w:tcPr>
            <w:tcW w:w="929" w:type="dxa"/>
            <w:textDirection w:val="btLr"/>
            <w:vAlign w:val="center"/>
          </w:tcPr>
          <w:p w14:paraId="7647933A" w14:textId="77777777" w:rsidR="00D34966" w:rsidRPr="00C172C2" w:rsidRDefault="009B5D26" w:rsidP="00C17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-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</w:rPr>
              <w:t>Kestus</w:t>
            </w:r>
            <w:proofErr w:type="spellEnd"/>
          </w:p>
        </w:tc>
        <w:tc>
          <w:tcPr>
            <w:tcW w:w="2670" w:type="dxa"/>
            <w:textDirection w:val="btLr"/>
            <w:vAlign w:val="center"/>
          </w:tcPr>
          <w:p w14:paraId="32E81248" w14:textId="77777777" w:rsidR="00D34966" w:rsidRPr="00C172C2" w:rsidRDefault="009B5D26" w:rsidP="00C17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-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</w:rPr>
              <w:t>Eesmärk</w:t>
            </w:r>
            <w:proofErr w:type="spellEnd"/>
          </w:p>
        </w:tc>
        <w:tc>
          <w:tcPr>
            <w:tcW w:w="1709" w:type="dxa"/>
            <w:textDirection w:val="btLr"/>
            <w:vAlign w:val="center"/>
          </w:tcPr>
          <w:p w14:paraId="0C121187" w14:textId="77777777" w:rsidR="00D34966" w:rsidRPr="00C172C2" w:rsidRDefault="009B5D26" w:rsidP="00C17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-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</w:rPr>
              <w:t>Õpetaja</w:t>
            </w:r>
            <w:proofErr w:type="spellEnd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</w:rPr>
              <w:t>tegevused</w:t>
            </w:r>
            <w:proofErr w:type="spellEnd"/>
          </w:p>
        </w:tc>
        <w:tc>
          <w:tcPr>
            <w:tcW w:w="1386" w:type="dxa"/>
            <w:textDirection w:val="btLr"/>
            <w:vAlign w:val="center"/>
          </w:tcPr>
          <w:p w14:paraId="2C371274" w14:textId="77777777" w:rsidR="00D34966" w:rsidRPr="00C172C2" w:rsidRDefault="009B5D26" w:rsidP="00C17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-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</w:rPr>
              <w:t>Õpilaste</w:t>
            </w:r>
            <w:proofErr w:type="spellEnd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</w:rPr>
              <w:t>tegevused</w:t>
            </w:r>
            <w:proofErr w:type="spellEnd"/>
          </w:p>
        </w:tc>
        <w:tc>
          <w:tcPr>
            <w:tcW w:w="3417" w:type="dxa"/>
          </w:tcPr>
          <w:p w14:paraId="57CBBEA3" w14:textId="77777777" w:rsidR="00D34966" w:rsidRPr="00C172C2" w:rsidRDefault="00D34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3E5D4C88" w14:textId="77777777" w:rsidR="00D34966" w:rsidRPr="00C172C2" w:rsidRDefault="009B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tingimused</w:t>
            </w:r>
            <w:proofErr w:type="spellEnd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:</w:t>
            </w:r>
          </w:p>
          <w:p w14:paraId="1C4DC4AA" w14:textId="77777777" w:rsidR="00D34966" w:rsidRPr="00C172C2" w:rsidRDefault="009B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sisu</w:t>
            </w:r>
            <w:proofErr w:type="spellEnd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kasutatavad</w:t>
            </w:r>
            <w:proofErr w:type="spellEnd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meetodid</w:t>
            </w:r>
            <w:proofErr w:type="spellEnd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vahendid</w:t>
            </w:r>
            <w:proofErr w:type="spellEnd"/>
          </w:p>
        </w:tc>
        <w:tc>
          <w:tcPr>
            <w:tcW w:w="4063" w:type="dxa"/>
          </w:tcPr>
          <w:p w14:paraId="6E7E7DA1" w14:textId="77777777" w:rsidR="00D34966" w:rsidRPr="00C172C2" w:rsidRDefault="00D34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05A67B75" w14:textId="77777777" w:rsidR="00D34966" w:rsidRPr="00C172C2" w:rsidRDefault="009B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</w:rPr>
              <w:t>Eesmärgid</w:t>
            </w:r>
            <w:proofErr w:type="spellEnd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/ </w:t>
            </w:r>
            <w:proofErr w:type="spellStart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</w:rPr>
              <w:t>oskuste</w:t>
            </w:r>
            <w:proofErr w:type="spellEnd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</w:rPr>
              <w:t>arendamine</w:t>
            </w:r>
            <w:proofErr w:type="spellEnd"/>
          </w:p>
          <w:p w14:paraId="5EDAF59E" w14:textId="77777777" w:rsidR="00D34966" w:rsidRPr="00C172C2" w:rsidRDefault="00D34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10D9E7F" w14:textId="77777777" w:rsidR="00D34966" w:rsidRPr="00C172C2" w:rsidRDefault="009B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Hindamine </w:t>
            </w:r>
          </w:p>
          <w:p w14:paraId="5286176C" w14:textId="77777777" w:rsidR="00D34966" w:rsidRPr="00C172C2" w:rsidRDefault="00D34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34966" w:rsidRPr="00C172C2" w14:paraId="73046EED" w14:textId="77777777" w:rsidTr="00C172C2">
        <w:trPr>
          <w:cantSplit/>
          <w:trHeight w:val="2467"/>
        </w:trPr>
        <w:tc>
          <w:tcPr>
            <w:tcW w:w="929" w:type="dxa"/>
            <w:textDirection w:val="btLr"/>
            <w:vAlign w:val="center"/>
          </w:tcPr>
          <w:p w14:paraId="37B09904" w14:textId="77777777" w:rsidR="00D34966" w:rsidRPr="00C172C2" w:rsidRDefault="009B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-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45 min</w:t>
            </w:r>
          </w:p>
        </w:tc>
        <w:tc>
          <w:tcPr>
            <w:tcW w:w="2670" w:type="dxa"/>
          </w:tcPr>
          <w:p w14:paraId="0CEAF02B" w14:textId="77777777" w:rsidR="00D34966" w:rsidRPr="00C172C2" w:rsidRDefault="00D34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C0C6090" w14:textId="77777777" w:rsidR="00D34966" w:rsidRPr="00C172C2" w:rsidRDefault="009B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Õpilane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oskab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kasutada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teabeallikaid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rahvastikuinfo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leidmiseks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analüüsida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rahvastikupüramiidi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ja rakendada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omandatud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teadmisi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rahvastiku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vananemisprotsessi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selgitamisel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sellest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tulenevate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probleemide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lahendamisel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riigis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709" w:type="dxa"/>
          </w:tcPr>
          <w:p w14:paraId="0226B6BD" w14:textId="77777777" w:rsidR="00C172C2" w:rsidRDefault="00C17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</w:p>
          <w:p w14:paraId="71E13DF7" w14:textId="1512828A" w:rsidR="00D34966" w:rsidRPr="00C172C2" w:rsidRDefault="009B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Juhendab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ja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aitab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õpilasi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vajaduspõhiselt</w:t>
            </w:r>
            <w:proofErr w:type="spellEnd"/>
          </w:p>
        </w:tc>
        <w:tc>
          <w:tcPr>
            <w:tcW w:w="1386" w:type="dxa"/>
          </w:tcPr>
          <w:p w14:paraId="1BFCA2C8" w14:textId="77777777" w:rsidR="00C172C2" w:rsidRDefault="00C17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</w:p>
          <w:p w14:paraId="69131BC6" w14:textId="223D1288" w:rsidR="00D34966" w:rsidRPr="00C172C2" w:rsidRDefault="009B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Arutavad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küsimusi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töölehel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nr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1,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täidavad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töölehe</w:t>
            </w:r>
            <w:proofErr w:type="spellEnd"/>
          </w:p>
        </w:tc>
        <w:tc>
          <w:tcPr>
            <w:tcW w:w="3417" w:type="dxa"/>
          </w:tcPr>
          <w:p w14:paraId="2ED820EF" w14:textId="77777777" w:rsidR="00C172C2" w:rsidRDefault="00C17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</w:p>
          <w:p w14:paraId="1D1D5C44" w14:textId="45FDA60D" w:rsidR="00D34966" w:rsidRPr="00C172C2" w:rsidRDefault="009B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Internetiühendusega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nutiseadmed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või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aruvit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iga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grupi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jaoks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.</w:t>
            </w:r>
          </w:p>
        </w:tc>
        <w:tc>
          <w:tcPr>
            <w:tcW w:w="4063" w:type="dxa"/>
          </w:tcPr>
          <w:p w14:paraId="67EEE0A4" w14:textId="77777777" w:rsidR="00C172C2" w:rsidRDefault="00C17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</w:p>
          <w:p w14:paraId="0A694E4F" w14:textId="34742CFE" w:rsidR="00D34966" w:rsidRPr="00C172C2" w:rsidRDefault="009B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Hindamisel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lähtuda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vajadusest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: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klassile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ja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aruteludes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silma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paistnud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õpilastele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suulise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hinnangu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andmine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;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töölehtede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täitmise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kontroll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ja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vastuste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hindamine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.</w:t>
            </w:r>
          </w:p>
          <w:p w14:paraId="04EDE99F" w14:textId="77777777" w:rsidR="00D34966" w:rsidRPr="00C172C2" w:rsidRDefault="00D34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Open Sans" w:hAnsi="Arial" w:cs="Arial"/>
                <w:color w:val="000000"/>
                <w:sz w:val="22"/>
                <w:szCs w:val="22"/>
                <w:lang w:val="de-DE"/>
              </w:rPr>
            </w:pPr>
          </w:p>
          <w:p w14:paraId="36281FBA" w14:textId="77777777" w:rsidR="00D34966" w:rsidRPr="00C172C2" w:rsidRDefault="00D34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</w:p>
          <w:p w14:paraId="3C55E76E" w14:textId="77777777" w:rsidR="00D34966" w:rsidRPr="00C172C2" w:rsidRDefault="00D34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</w:p>
          <w:p w14:paraId="469C3E07" w14:textId="77777777" w:rsidR="00D34966" w:rsidRPr="00C172C2" w:rsidRDefault="00D34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</w:p>
        </w:tc>
      </w:tr>
      <w:tr w:rsidR="00D34966" w:rsidRPr="00C172C2" w14:paraId="47AE232F" w14:textId="77777777" w:rsidTr="00C172C2">
        <w:trPr>
          <w:cantSplit/>
          <w:trHeight w:val="1171"/>
        </w:trPr>
        <w:tc>
          <w:tcPr>
            <w:tcW w:w="929" w:type="dxa"/>
            <w:textDirection w:val="btLr"/>
            <w:vAlign w:val="center"/>
          </w:tcPr>
          <w:p w14:paraId="0C2078E1" w14:textId="77777777" w:rsidR="00D34966" w:rsidRPr="00C172C2" w:rsidRDefault="009B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-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45 min</w:t>
            </w:r>
          </w:p>
        </w:tc>
        <w:tc>
          <w:tcPr>
            <w:tcW w:w="2670" w:type="dxa"/>
          </w:tcPr>
          <w:p w14:paraId="54CA101A" w14:textId="77777777" w:rsidR="00D34966" w:rsidRPr="00C172C2" w:rsidRDefault="009B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Õpilasel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on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ülevaade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tööjõust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ja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palkadest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, ta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mõistab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pikaajalise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karjääriplaneerimise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tähtsust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toimetuleku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eeldusena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ja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pensionipõlve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kindlustamisel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valitsuse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reguleerivat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rolli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hüvede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ümberjagamises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maksude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kaudu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.  </w:t>
            </w:r>
          </w:p>
        </w:tc>
        <w:tc>
          <w:tcPr>
            <w:tcW w:w="1709" w:type="dxa"/>
          </w:tcPr>
          <w:p w14:paraId="66D89068" w14:textId="77777777" w:rsidR="00D34966" w:rsidRPr="00C172C2" w:rsidRDefault="009B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Juhendab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ja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aitab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õpilasi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vajaduspõhiselt</w:t>
            </w:r>
            <w:proofErr w:type="spellEnd"/>
          </w:p>
        </w:tc>
        <w:tc>
          <w:tcPr>
            <w:tcW w:w="1386" w:type="dxa"/>
          </w:tcPr>
          <w:p w14:paraId="1D28D341" w14:textId="77777777" w:rsidR="00D34966" w:rsidRPr="00C172C2" w:rsidRDefault="009B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Arutlevad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küsimuste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üle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töölehel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nr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2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ning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täidavad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selle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.</w:t>
            </w:r>
          </w:p>
        </w:tc>
        <w:tc>
          <w:tcPr>
            <w:tcW w:w="3417" w:type="dxa"/>
          </w:tcPr>
          <w:p w14:paraId="423D268D" w14:textId="77777777" w:rsidR="00D34966" w:rsidRPr="00C172C2" w:rsidRDefault="009B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Internetiühendusega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nutiseadmed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või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aruvit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iga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grupi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jaoks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.</w:t>
            </w:r>
          </w:p>
        </w:tc>
        <w:tc>
          <w:tcPr>
            <w:tcW w:w="4063" w:type="dxa"/>
          </w:tcPr>
          <w:p w14:paraId="3EFCC311" w14:textId="77777777" w:rsidR="00D34966" w:rsidRPr="00C172C2" w:rsidRDefault="009B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Hindamisel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lähtuda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vajadusest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: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klassile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ja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aruteludes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silma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paistnud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õpilastele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suulise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hinnangu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andmine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;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töölehtede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täitmise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kontroll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ja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vastuste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hindamine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.</w:t>
            </w:r>
          </w:p>
          <w:p w14:paraId="01D446D6" w14:textId="77777777" w:rsidR="00D34966" w:rsidRPr="00C172C2" w:rsidRDefault="00D34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</w:p>
        </w:tc>
      </w:tr>
    </w:tbl>
    <w:p w14:paraId="7E8898B1" w14:textId="77777777" w:rsidR="00D34966" w:rsidRPr="00C172C2" w:rsidRDefault="00D34966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  <w:lang w:val="de-DE"/>
        </w:rPr>
        <w:sectPr w:rsidR="00D34966" w:rsidRPr="00C172C2">
          <w:headerReference w:type="default" r:id="rId13"/>
          <w:footerReference w:type="default" r:id="rId14"/>
          <w:headerReference w:type="first" r:id="rId15"/>
          <w:pgSz w:w="16838" w:h="11906" w:orient="landscape"/>
          <w:pgMar w:top="1440" w:right="1440" w:bottom="1440" w:left="1440" w:header="283" w:footer="709" w:gutter="0"/>
          <w:pgNumType w:start="1"/>
          <w:cols w:space="708"/>
        </w:sectPr>
      </w:pPr>
    </w:p>
    <w:p w14:paraId="6D6768BF" w14:textId="77777777" w:rsidR="00D34966" w:rsidRPr="00C172C2" w:rsidRDefault="00D34966">
      <w:pPr>
        <w:pBdr>
          <w:top w:val="nil"/>
          <w:left w:val="nil"/>
          <w:bottom w:val="nil"/>
          <w:right w:val="nil"/>
          <w:between w:val="nil"/>
        </w:pBdr>
        <w:ind w:right="-1"/>
        <w:rPr>
          <w:rFonts w:ascii="Arial" w:hAnsi="Arial" w:cs="Arial"/>
          <w:color w:val="000000"/>
          <w:sz w:val="22"/>
          <w:szCs w:val="22"/>
          <w:lang w:val="de-DE"/>
        </w:rPr>
      </w:pPr>
    </w:p>
    <w:tbl>
      <w:tblPr>
        <w:tblStyle w:val="a4"/>
        <w:tblW w:w="92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42"/>
      </w:tblGrid>
      <w:tr w:rsidR="00D34966" w:rsidRPr="00C172C2" w14:paraId="2EF4217E" w14:textId="77777777">
        <w:tc>
          <w:tcPr>
            <w:tcW w:w="9242" w:type="dxa"/>
          </w:tcPr>
          <w:p w14:paraId="332A5AA1" w14:textId="77777777" w:rsidR="00D34966" w:rsidRPr="00C172C2" w:rsidRDefault="009B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4. </w:t>
            </w:r>
            <w:proofErr w:type="spellStart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</w:rPr>
              <w:t>Materjal</w:t>
            </w:r>
            <w:proofErr w:type="spellEnd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</w:rPr>
              <w:t>kuulub</w:t>
            </w:r>
            <w:proofErr w:type="spellEnd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</w:rPr>
              <w:t>järgneva</w:t>
            </w:r>
            <w:proofErr w:type="spellEnd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</w:rPr>
              <w:t>alateema</w:t>
            </w:r>
            <w:proofErr w:type="spellEnd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alla …</w:t>
            </w:r>
          </w:p>
          <w:p w14:paraId="7AE3940C" w14:textId="77777777" w:rsidR="00D34966" w:rsidRPr="00C172C2" w:rsidRDefault="00D34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7B38E18" w14:textId="5EE73C52" w:rsidR="00D34966" w:rsidRPr="00C172C2" w:rsidRDefault="009B5D2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Alamteema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: ‘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Säästmine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ja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investeerimine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’</w:t>
            </w:r>
          </w:p>
          <w:p w14:paraId="0E5EDA68" w14:textId="77777777" w:rsidR="00D34966" w:rsidRPr="00C172C2" w:rsidRDefault="00D34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7ED7749" w14:textId="77777777" w:rsidR="00D34966" w:rsidRPr="00C172C2" w:rsidRDefault="009B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Selgitus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õpilased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õpivad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tundma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ühiskonna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vananemisprotsesse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ning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riigi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>pensionisüsteemi</w:t>
            </w:r>
            <w:proofErr w:type="spellEnd"/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</w:p>
          <w:p w14:paraId="1C060B81" w14:textId="77777777" w:rsidR="00D34966" w:rsidRPr="00C172C2" w:rsidRDefault="00D34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6B59924" w14:textId="77777777" w:rsidR="00D34966" w:rsidRPr="00C172C2" w:rsidRDefault="00D34966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="Arial" w:hAnsi="Arial" w:cs="Arial"/>
          <w:color w:val="000000"/>
          <w:sz w:val="22"/>
          <w:szCs w:val="22"/>
        </w:rPr>
      </w:pPr>
    </w:p>
    <w:p w14:paraId="5FC0E706" w14:textId="77777777" w:rsidR="00D34966" w:rsidRPr="00C172C2" w:rsidRDefault="00D34966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</w:p>
    <w:p w14:paraId="066BAF12" w14:textId="77777777" w:rsidR="00D34966" w:rsidRPr="00C172C2" w:rsidRDefault="00D34966">
      <w:pPr>
        <w:pBdr>
          <w:top w:val="nil"/>
          <w:left w:val="nil"/>
          <w:bottom w:val="nil"/>
          <w:right w:val="nil"/>
          <w:between w:val="nil"/>
        </w:pBdr>
        <w:ind w:right="-1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a5"/>
        <w:tblW w:w="92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42"/>
      </w:tblGrid>
      <w:tr w:rsidR="00D34966" w:rsidRPr="00C172C2" w14:paraId="711A3E93" w14:textId="77777777">
        <w:tc>
          <w:tcPr>
            <w:tcW w:w="9242" w:type="dxa"/>
          </w:tcPr>
          <w:p w14:paraId="6C27E981" w14:textId="77777777" w:rsidR="00D34966" w:rsidRPr="00C172C2" w:rsidRDefault="00D3496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375" w:right="-1" w:hanging="375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5235DAE5" w14:textId="68020C66" w:rsidR="00D34966" w:rsidRDefault="009B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</w:rPr>
              <w:t>5. (</w:t>
            </w:r>
            <w:proofErr w:type="spellStart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</w:rPr>
              <w:t>valikuline</w:t>
            </w:r>
            <w:proofErr w:type="spellEnd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</w:rPr>
              <w:t>Lisavõimalused</w:t>
            </w:r>
            <w:proofErr w:type="spellEnd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</w:rPr>
              <w:t>spetsiaalsed</w:t>
            </w:r>
            <w:proofErr w:type="spellEnd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</w:rPr>
              <w:t>karakterisikud</w:t>
            </w:r>
            <w:proofErr w:type="spellEnd"/>
            <w:r w:rsidRPr="00C172C2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  <w:p w14:paraId="31A29380" w14:textId="4501654C" w:rsidR="00C172C2" w:rsidRDefault="00C17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6197FF9B" w14:textId="1F35C5D6" w:rsidR="00C172C2" w:rsidRDefault="00C17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6CF36520" w14:textId="507B7A47" w:rsidR="00C172C2" w:rsidRDefault="00C17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2C0EE729" w14:textId="77777777" w:rsidR="00C172C2" w:rsidRPr="00C172C2" w:rsidRDefault="00C17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71B65B8" w14:textId="77777777" w:rsidR="00D34966" w:rsidRPr="00C172C2" w:rsidRDefault="009B5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72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16DF7BA0" w14:textId="77777777" w:rsidR="00D34966" w:rsidRPr="00C172C2" w:rsidRDefault="00D34966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="Arial" w:hAnsi="Arial" w:cs="Arial"/>
          <w:color w:val="000000"/>
          <w:sz w:val="22"/>
          <w:szCs w:val="22"/>
        </w:rPr>
      </w:pPr>
    </w:p>
    <w:p w14:paraId="16966419" w14:textId="77777777" w:rsidR="00D34966" w:rsidRPr="00C172C2" w:rsidRDefault="00D34966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="Arial" w:hAnsi="Arial" w:cs="Arial"/>
          <w:color w:val="000000"/>
          <w:sz w:val="22"/>
          <w:szCs w:val="22"/>
        </w:rPr>
      </w:pPr>
    </w:p>
    <w:p w14:paraId="228AC4B0" w14:textId="52C6E2EA" w:rsidR="00D34966" w:rsidRDefault="009B5D26">
      <w:pPr>
        <w:pBdr>
          <w:top w:val="nil"/>
          <w:left w:val="nil"/>
          <w:bottom w:val="nil"/>
          <w:right w:val="nil"/>
          <w:between w:val="nil"/>
        </w:pBdr>
        <w:ind w:right="-1"/>
        <w:rPr>
          <w:rFonts w:ascii="Arial" w:hAnsi="Arial" w:cs="Arial"/>
          <w:b/>
          <w:color w:val="000000"/>
          <w:sz w:val="22"/>
          <w:szCs w:val="22"/>
        </w:rPr>
      </w:pPr>
      <w:bookmarkStart w:id="0" w:name="_gjdgxs" w:colFirst="0" w:colLast="0"/>
      <w:bookmarkEnd w:id="0"/>
      <w:r w:rsidRPr="00C172C2">
        <w:rPr>
          <w:rFonts w:ascii="Arial" w:hAnsi="Arial" w:cs="Arial"/>
          <w:b/>
          <w:color w:val="000000"/>
          <w:sz w:val="22"/>
          <w:szCs w:val="22"/>
        </w:rPr>
        <w:t xml:space="preserve">6. </w:t>
      </w:r>
      <w:proofErr w:type="spellStart"/>
      <w:r w:rsidRPr="00C172C2">
        <w:rPr>
          <w:rFonts w:ascii="Arial" w:hAnsi="Arial" w:cs="Arial"/>
          <w:b/>
          <w:color w:val="000000"/>
          <w:sz w:val="22"/>
          <w:szCs w:val="22"/>
        </w:rPr>
        <w:t>Lisad</w:t>
      </w:r>
      <w:proofErr w:type="spellEnd"/>
      <w:r w:rsidRPr="00C172C2">
        <w:rPr>
          <w:rFonts w:ascii="Arial" w:hAnsi="Arial" w:cs="Arial"/>
          <w:b/>
          <w:color w:val="000000"/>
          <w:sz w:val="22"/>
          <w:szCs w:val="22"/>
        </w:rPr>
        <w:t xml:space="preserve">: </w:t>
      </w:r>
    </w:p>
    <w:p w14:paraId="32FC0EBD" w14:textId="77777777" w:rsidR="00C172C2" w:rsidRPr="00C172C2" w:rsidRDefault="00C172C2">
      <w:pPr>
        <w:pBdr>
          <w:top w:val="nil"/>
          <w:left w:val="nil"/>
          <w:bottom w:val="nil"/>
          <w:right w:val="nil"/>
          <w:between w:val="nil"/>
        </w:pBdr>
        <w:ind w:right="-1"/>
        <w:rPr>
          <w:rFonts w:ascii="Arial" w:hAnsi="Arial" w:cs="Arial"/>
          <w:color w:val="000000"/>
          <w:sz w:val="22"/>
          <w:szCs w:val="22"/>
        </w:rPr>
      </w:pPr>
    </w:p>
    <w:p w14:paraId="40A850DB" w14:textId="77777777" w:rsidR="00D34966" w:rsidRPr="00C172C2" w:rsidRDefault="009B5D26" w:rsidP="00C172C2">
      <w:pPr>
        <w:pStyle w:val="Lijstalinea"/>
        <w:numPr>
          <w:ilvl w:val="0"/>
          <w:numId w:val="5"/>
        </w:numPr>
        <w:ind w:right="-1"/>
        <w:rPr>
          <w:rFonts w:ascii="Arial" w:eastAsia="Arial" w:hAnsi="Arial" w:cs="Arial"/>
          <w:sz w:val="22"/>
          <w:szCs w:val="22"/>
        </w:rPr>
      </w:pPr>
      <w:proofErr w:type="spellStart"/>
      <w:r w:rsidRPr="00C172C2">
        <w:rPr>
          <w:rFonts w:ascii="Arial" w:eastAsia="Arial" w:hAnsi="Arial" w:cs="Arial"/>
          <w:sz w:val="22"/>
          <w:szCs w:val="22"/>
        </w:rPr>
        <w:t>Õpilaste</w:t>
      </w:r>
      <w:proofErr w:type="spellEnd"/>
      <w:r w:rsidRPr="00C172C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C172C2">
        <w:rPr>
          <w:rFonts w:ascii="Arial" w:eastAsia="Arial" w:hAnsi="Arial" w:cs="Arial"/>
          <w:sz w:val="22"/>
          <w:szCs w:val="22"/>
        </w:rPr>
        <w:t>töölehed</w:t>
      </w:r>
      <w:proofErr w:type="spellEnd"/>
      <w:r w:rsidRPr="00C172C2">
        <w:rPr>
          <w:rFonts w:ascii="Arial" w:eastAsia="Arial" w:hAnsi="Arial" w:cs="Arial"/>
          <w:sz w:val="22"/>
          <w:szCs w:val="22"/>
        </w:rPr>
        <w:t xml:space="preserve"> 1 ja 2</w:t>
      </w:r>
    </w:p>
    <w:p w14:paraId="1432AEE3" w14:textId="77777777" w:rsidR="00D34966" w:rsidRPr="00C172C2" w:rsidRDefault="009B5D26" w:rsidP="00C172C2">
      <w:pPr>
        <w:pStyle w:val="Lijstalinea"/>
        <w:numPr>
          <w:ilvl w:val="0"/>
          <w:numId w:val="5"/>
        </w:numPr>
        <w:ind w:right="-1"/>
        <w:rPr>
          <w:rFonts w:ascii="Arial" w:eastAsia="Arial" w:hAnsi="Arial" w:cs="Arial"/>
          <w:sz w:val="22"/>
          <w:szCs w:val="22"/>
        </w:rPr>
      </w:pPr>
      <w:proofErr w:type="spellStart"/>
      <w:r w:rsidRPr="00C172C2">
        <w:rPr>
          <w:rFonts w:ascii="Arial" w:eastAsia="Arial" w:hAnsi="Arial" w:cs="Arial"/>
          <w:sz w:val="22"/>
          <w:szCs w:val="22"/>
        </w:rPr>
        <w:t>Õpetaja</w:t>
      </w:r>
      <w:proofErr w:type="spellEnd"/>
      <w:r w:rsidRPr="00C172C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C172C2">
        <w:rPr>
          <w:rFonts w:ascii="Arial" w:eastAsia="Arial" w:hAnsi="Arial" w:cs="Arial"/>
          <w:sz w:val="22"/>
          <w:szCs w:val="22"/>
        </w:rPr>
        <w:t>juhend</w:t>
      </w:r>
      <w:proofErr w:type="spellEnd"/>
    </w:p>
    <w:sectPr w:rsidR="00D34966" w:rsidRPr="00C172C2">
      <w:pgSz w:w="16838" w:h="11906" w:orient="landscape"/>
      <w:pgMar w:top="1440" w:right="1440" w:bottom="1440" w:left="1440" w:header="283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71AC35" w14:textId="77777777" w:rsidR="001D1161" w:rsidRDefault="001D1161">
      <w:r>
        <w:separator/>
      </w:r>
    </w:p>
  </w:endnote>
  <w:endnote w:type="continuationSeparator" w:id="0">
    <w:p w14:paraId="17CD896C" w14:textId="77777777" w:rsidR="001D1161" w:rsidRDefault="001D1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08AEE" w14:textId="77777777" w:rsidR="00D34966" w:rsidRDefault="009B5D26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ED5042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  <w:p w14:paraId="049EAF85" w14:textId="77777777" w:rsidR="00D34966" w:rsidRDefault="00D34966">
    <w:pPr>
      <w:pBdr>
        <w:top w:val="nil"/>
        <w:left w:val="nil"/>
        <w:bottom w:val="nil"/>
        <w:right w:val="nil"/>
        <w:between w:val="nil"/>
      </w:pBdr>
      <w:rPr>
        <w:rFonts w:ascii="Open Sans" w:eastAsia="Open Sans" w:hAnsi="Open Sans" w:cs="Open Sans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43EB51" w14:textId="77777777" w:rsidR="001D1161" w:rsidRDefault="001D1161">
      <w:r>
        <w:separator/>
      </w:r>
    </w:p>
  </w:footnote>
  <w:footnote w:type="continuationSeparator" w:id="0">
    <w:p w14:paraId="397F97DF" w14:textId="77777777" w:rsidR="001D1161" w:rsidRDefault="001D1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D3C00" w14:textId="01F29737" w:rsidR="00C172C2" w:rsidRDefault="00C172C2">
    <w:pPr>
      <w:pBdr>
        <w:top w:val="nil"/>
        <w:left w:val="nil"/>
        <w:bottom w:val="nil"/>
        <w:right w:val="nil"/>
        <w:between w:val="nil"/>
      </w:pBdr>
      <w:tabs>
        <w:tab w:val="left" w:pos="732"/>
        <w:tab w:val="right" w:pos="13958"/>
      </w:tabs>
      <w:rPr>
        <w:rFonts w:ascii="Open Sans" w:eastAsia="Open Sans" w:hAnsi="Open Sans" w:cs="Open Sans"/>
        <w:color w:val="000000"/>
      </w:rPr>
    </w:pPr>
    <w:r>
      <w:rPr>
        <w:rFonts w:ascii="Open Sans" w:eastAsia="Open Sans" w:hAnsi="Open Sans" w:cs="Open Sans"/>
        <w:noProof/>
        <w:color w:val="000000"/>
      </w:rPr>
      <w:drawing>
        <wp:anchor distT="0" distB="0" distL="114300" distR="114300" simplePos="0" relativeHeight="251659264" behindDoc="0" locked="0" layoutInCell="1" allowOverlap="1" wp14:anchorId="04D49BC9" wp14:editId="1D5F29E3">
          <wp:simplePos x="0" y="0"/>
          <wp:positionH relativeFrom="column">
            <wp:posOffset>7109460</wp:posOffset>
          </wp:positionH>
          <wp:positionV relativeFrom="paragraph">
            <wp:posOffset>-179705</wp:posOffset>
          </wp:positionV>
          <wp:extent cx="1765300" cy="1232535"/>
          <wp:effectExtent l="0" t="0" r="0" b="0"/>
          <wp:wrapSquare wrapText="bothSides"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5300" cy="12325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9583BFD" w14:textId="21AF6F2F" w:rsidR="00C172C2" w:rsidRDefault="00C172C2">
    <w:pPr>
      <w:pBdr>
        <w:top w:val="nil"/>
        <w:left w:val="nil"/>
        <w:bottom w:val="nil"/>
        <w:right w:val="nil"/>
        <w:between w:val="nil"/>
      </w:pBdr>
      <w:tabs>
        <w:tab w:val="left" w:pos="732"/>
        <w:tab w:val="right" w:pos="13958"/>
      </w:tabs>
      <w:rPr>
        <w:rFonts w:ascii="Open Sans" w:eastAsia="Open Sans" w:hAnsi="Open Sans" w:cs="Open Sans"/>
        <w:color w:val="000000"/>
      </w:rPr>
    </w:pPr>
  </w:p>
  <w:p w14:paraId="30B5CBB6" w14:textId="77777777" w:rsidR="00C172C2" w:rsidRDefault="00C172C2">
    <w:pPr>
      <w:pBdr>
        <w:top w:val="nil"/>
        <w:left w:val="nil"/>
        <w:bottom w:val="nil"/>
        <w:right w:val="nil"/>
        <w:between w:val="nil"/>
      </w:pBdr>
      <w:tabs>
        <w:tab w:val="left" w:pos="732"/>
        <w:tab w:val="right" w:pos="13958"/>
      </w:tabs>
      <w:rPr>
        <w:rFonts w:ascii="Open Sans" w:eastAsia="Open Sans" w:hAnsi="Open Sans" w:cs="Open Sans"/>
        <w:color w:val="000000"/>
      </w:rPr>
    </w:pPr>
  </w:p>
  <w:p w14:paraId="58A3C70B" w14:textId="595F3A2E" w:rsidR="00C172C2" w:rsidRDefault="00C172C2">
    <w:pPr>
      <w:pBdr>
        <w:top w:val="nil"/>
        <w:left w:val="nil"/>
        <w:bottom w:val="nil"/>
        <w:right w:val="nil"/>
        <w:between w:val="nil"/>
      </w:pBdr>
      <w:tabs>
        <w:tab w:val="left" w:pos="732"/>
        <w:tab w:val="right" w:pos="13958"/>
      </w:tabs>
      <w:rPr>
        <w:rFonts w:ascii="Open Sans" w:eastAsia="Open Sans" w:hAnsi="Open Sans" w:cs="Open Sans"/>
        <w:color w:val="000000"/>
      </w:rPr>
    </w:pPr>
  </w:p>
  <w:p w14:paraId="06479B04" w14:textId="6CD6A7DC" w:rsidR="00D34966" w:rsidRPr="00C172C2" w:rsidRDefault="009B5D26">
    <w:pPr>
      <w:pBdr>
        <w:top w:val="nil"/>
        <w:left w:val="nil"/>
        <w:bottom w:val="nil"/>
        <w:right w:val="nil"/>
        <w:between w:val="nil"/>
      </w:pBdr>
      <w:tabs>
        <w:tab w:val="left" w:pos="732"/>
        <w:tab w:val="right" w:pos="13958"/>
      </w:tabs>
      <w:rPr>
        <w:rFonts w:ascii="Arial" w:eastAsia="Open Sans" w:hAnsi="Arial" w:cs="Arial"/>
        <w:b/>
        <w:bCs/>
        <w:color w:val="000000"/>
      </w:rPr>
    </w:pPr>
    <w:r w:rsidRPr="00C172C2">
      <w:rPr>
        <w:rFonts w:ascii="Arial" w:eastAsia="Open Sans" w:hAnsi="Arial" w:cs="Arial"/>
        <w:b/>
        <w:bCs/>
        <w:color w:val="000000"/>
        <w:sz w:val="24"/>
        <w:szCs w:val="24"/>
      </w:rPr>
      <w:t>Ene Saar</w:t>
    </w:r>
    <w:r w:rsidR="00C172C2" w:rsidRPr="00C172C2">
      <w:rPr>
        <w:rFonts w:ascii="Arial" w:eastAsia="Open Sans" w:hAnsi="Arial" w:cs="Arial"/>
        <w:b/>
        <w:bCs/>
        <w:color w:val="000000"/>
        <w:sz w:val="24"/>
        <w:szCs w:val="24"/>
      </w:rPr>
      <w:t xml:space="preserve"> &amp;</w:t>
    </w:r>
    <w:r w:rsidRPr="00C172C2">
      <w:rPr>
        <w:rFonts w:ascii="Arial" w:eastAsia="Open Sans" w:hAnsi="Arial" w:cs="Arial"/>
        <w:b/>
        <w:bCs/>
        <w:color w:val="000000"/>
        <w:sz w:val="24"/>
        <w:szCs w:val="24"/>
      </w:rPr>
      <w:t xml:space="preserve"> Elbe </w:t>
    </w:r>
    <w:proofErr w:type="spellStart"/>
    <w:r w:rsidRPr="00C172C2">
      <w:rPr>
        <w:rFonts w:ascii="Arial" w:eastAsia="Open Sans" w:hAnsi="Arial" w:cs="Arial"/>
        <w:b/>
        <w:bCs/>
        <w:color w:val="000000"/>
        <w:sz w:val="24"/>
        <w:szCs w:val="24"/>
      </w:rPr>
      <w:t>Metsatalu</w:t>
    </w:r>
    <w:proofErr w:type="spellEnd"/>
    <w:r w:rsidRPr="00C172C2">
      <w:rPr>
        <w:rFonts w:ascii="Arial" w:eastAsia="Open Sans" w:hAnsi="Arial" w:cs="Arial"/>
        <w:b/>
        <w:bCs/>
        <w:color w:val="000000"/>
      </w:rPr>
      <w:tab/>
    </w:r>
    <w:r w:rsidRPr="00C172C2">
      <w:rPr>
        <w:rFonts w:ascii="Arial" w:eastAsia="Open Sans" w:hAnsi="Arial" w:cs="Arial"/>
        <w:b/>
        <w:bCs/>
        <w:color w:val="000000"/>
      </w:rPr>
      <w:tab/>
    </w:r>
    <w:r w:rsidRPr="00C172C2">
      <w:rPr>
        <w:rFonts w:ascii="Arial" w:eastAsia="Open Sans" w:hAnsi="Arial" w:cs="Arial"/>
        <w:b/>
        <w:bCs/>
        <w:color w:val="00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3D8E2" w14:textId="77777777" w:rsidR="00D34966" w:rsidRDefault="009B5D26">
    <w:pPr>
      <w:pBdr>
        <w:top w:val="nil"/>
        <w:left w:val="nil"/>
        <w:bottom w:val="nil"/>
        <w:right w:val="nil"/>
        <w:between w:val="nil"/>
      </w:pBdr>
      <w:rPr>
        <w:rFonts w:ascii="Open Sans" w:eastAsia="Open Sans" w:hAnsi="Open Sans" w:cs="Open Sans"/>
        <w:color w:val="000000"/>
      </w:rPr>
    </w:pPr>
    <w:r>
      <w:rPr>
        <w:rFonts w:ascii="Open Sans" w:eastAsia="Open Sans" w:hAnsi="Open Sans" w:cs="Open Sans"/>
        <w:noProof/>
        <w:color w:val="000000"/>
      </w:rPr>
      <w:drawing>
        <wp:inline distT="0" distB="0" distL="114300" distR="114300" wp14:anchorId="3C4DAA44" wp14:editId="0A89BC10">
          <wp:extent cx="878205" cy="738505"/>
          <wp:effectExtent l="0" t="0" r="0" b="0"/>
          <wp:docPr id="4" name="image2.png" descr="Description: Description: http://www.ac-grenoble.fr/college/jmace.plv/langues/drapeaux/europa-fahne-1024x768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escription: Description: http://www.ac-grenoble.fr/college/jmace.plv/langues/drapeaux/europa-fahne-1024x768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8205" cy="738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0" distR="0" simplePos="0" relativeHeight="251658240" behindDoc="0" locked="0" layoutInCell="1" hidden="0" allowOverlap="1" wp14:anchorId="61005E9E" wp14:editId="663AC510">
          <wp:simplePos x="0" y="0"/>
          <wp:positionH relativeFrom="column">
            <wp:posOffset>3982720</wp:posOffset>
          </wp:positionH>
          <wp:positionV relativeFrom="paragraph">
            <wp:posOffset>-282574</wp:posOffset>
          </wp:positionV>
          <wp:extent cx="1752600" cy="987425"/>
          <wp:effectExtent l="0" t="0" r="0" b="0"/>
          <wp:wrapSquare wrapText="bothSides" distT="0" distB="0" distL="0" distR="0"/>
          <wp:docPr id="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2600" cy="987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7A3E90"/>
    <w:multiLevelType w:val="multilevel"/>
    <w:tmpl w:val="C7EA11A2"/>
    <w:lvl w:ilvl="0">
      <w:start w:val="1"/>
      <w:numFmt w:val="decimal"/>
      <w:lvlText w:val="%1."/>
      <w:lvlJc w:val="left"/>
      <w:pPr>
        <w:ind w:left="3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086" w:hanging="180"/>
      </w:pPr>
      <w:rPr>
        <w:vertAlign w:val="baseline"/>
      </w:rPr>
    </w:lvl>
  </w:abstractNum>
  <w:abstractNum w:abstractNumId="1" w15:restartNumberingAfterBreak="0">
    <w:nsid w:val="511D19EA"/>
    <w:multiLevelType w:val="hybridMultilevel"/>
    <w:tmpl w:val="CC207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14EEA"/>
    <w:multiLevelType w:val="multilevel"/>
    <w:tmpl w:val="3800E1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61F7198"/>
    <w:multiLevelType w:val="multilevel"/>
    <w:tmpl w:val="6554AE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76D404D3"/>
    <w:multiLevelType w:val="multilevel"/>
    <w:tmpl w:val="7D0A65E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966"/>
    <w:rsid w:val="001D1161"/>
    <w:rsid w:val="009B5D26"/>
    <w:rsid w:val="00C172C2"/>
    <w:rsid w:val="00D34966"/>
    <w:rsid w:val="00ED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72400"/>
  <w15:docId w15:val="{17ABCE3A-D063-4D7D-A668-E7051CC5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BE" w:bidi="kok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C172C2"/>
    <w:pPr>
      <w:tabs>
        <w:tab w:val="center" w:pos="4680"/>
        <w:tab w:val="right" w:pos="9360"/>
      </w:tabs>
    </w:pPr>
    <w:rPr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C172C2"/>
    <w:rPr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172C2"/>
    <w:pPr>
      <w:tabs>
        <w:tab w:val="center" w:pos="4680"/>
        <w:tab w:val="right" w:pos="9360"/>
      </w:tabs>
    </w:pPr>
    <w:rPr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C172C2"/>
    <w:rPr>
      <w:szCs w:val="18"/>
    </w:rPr>
  </w:style>
  <w:style w:type="paragraph" w:styleId="Lijstalinea">
    <w:name w:val="List Paragraph"/>
    <w:basedOn w:val="Standaard"/>
    <w:uiPriority w:val="34"/>
    <w:qFormat/>
    <w:rsid w:val="00C172C2"/>
    <w:pPr>
      <w:ind w:left="720"/>
      <w:contextualSpacing/>
    </w:pPr>
    <w:rPr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igiteataja.ee/akt/129082014021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populationpyramid.net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opulationpyramid.net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oppekava.innove.ee/pohiharidu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iigiteataja.ee/akt/129082014020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706</Words>
  <Characters>3887</Characters>
  <Application>Microsoft Office Word</Application>
  <DocSecurity>0</DocSecurity>
  <Lines>32</Lines>
  <Paragraphs>9</Paragraphs>
  <ScaleCrop>false</ScaleCrop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Holz</dc:creator>
  <cp:lastModifiedBy>Oliver Holz</cp:lastModifiedBy>
  <cp:revision>3</cp:revision>
  <dcterms:created xsi:type="dcterms:W3CDTF">2020-12-03T10:47:00Z</dcterms:created>
  <dcterms:modified xsi:type="dcterms:W3CDTF">2020-12-03T10:55:00Z</dcterms:modified>
</cp:coreProperties>
</file>